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9E" w:rsidRDefault="00D0089E" w:rsidP="000E7A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D0089E" w:rsidRDefault="00D0089E" w:rsidP="00D0089E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D0089E" w:rsidRDefault="00D0089E" w:rsidP="00D0089E">
      <w:pPr>
        <w:shd w:val="clear" w:color="auto" w:fill="FFFFFF"/>
        <w:ind w:left="156" w:hanging="1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D0089E" w:rsidRDefault="00D0089E" w:rsidP="00D008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БОГОСЛОВСКОГО СЕЛЬСКОГО  ПОСЕЛЕНИЯ</w:t>
      </w:r>
    </w:p>
    <w:p w:rsidR="00D0089E" w:rsidRDefault="00D0089E" w:rsidP="00D008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:rsidR="00D0089E" w:rsidRDefault="00D0089E" w:rsidP="00D008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0089E" w:rsidTr="00D0089E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089E" w:rsidRDefault="00D008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0089E" w:rsidRDefault="00D0089E" w:rsidP="00D008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D0089E" w:rsidRDefault="00D0089E" w:rsidP="00D0089E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AB34E1" w:rsidRPr="00AB34E1" w:rsidRDefault="00AB34E1" w:rsidP="00AB34E1">
      <w:pPr>
        <w:suppressAutoHyphens/>
        <w:ind w:hanging="142"/>
        <w:jc w:val="both"/>
        <w:rPr>
          <w:lang w:eastAsia="zh-CN"/>
        </w:rPr>
      </w:pPr>
      <w:r>
        <w:rPr>
          <w:spacing w:val="20"/>
          <w:sz w:val="28"/>
          <w:szCs w:val="28"/>
          <w:lang w:eastAsia="zh-CN"/>
        </w:rPr>
        <w:t>от 15.12.2017 № 35</w:t>
      </w:r>
    </w:p>
    <w:p w:rsidR="00D0089E" w:rsidRDefault="00D0089E" w:rsidP="00D0089E">
      <w:pPr>
        <w:shd w:val="clear" w:color="auto" w:fill="FFFFFF"/>
        <w:spacing w:line="240" w:lineRule="exact"/>
        <w:rPr>
          <w:sz w:val="28"/>
          <w:szCs w:val="28"/>
        </w:rPr>
      </w:pPr>
    </w:p>
    <w:p w:rsidR="00D0089E" w:rsidRDefault="00D0089E" w:rsidP="00D0089E">
      <w:pPr>
        <w:pStyle w:val="a5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0089E" w:rsidRPr="00AB34E1" w:rsidRDefault="00D0089E" w:rsidP="00AB34E1">
      <w:pPr>
        <w:ind w:firstLine="709"/>
        <w:jc w:val="both"/>
        <w:rPr>
          <w:bCs/>
          <w:sz w:val="28"/>
          <w:szCs w:val="28"/>
        </w:rPr>
      </w:pPr>
      <w:r w:rsidRPr="00AB34E1">
        <w:rPr>
          <w:bCs/>
          <w:sz w:val="28"/>
          <w:szCs w:val="28"/>
        </w:rPr>
        <w:t>Об утверждении положения о порядке сообщения главой</w:t>
      </w:r>
      <w:r w:rsidR="00AB34E1">
        <w:rPr>
          <w:bCs/>
          <w:sz w:val="28"/>
          <w:szCs w:val="28"/>
        </w:rPr>
        <w:t xml:space="preserve"> </w:t>
      </w:r>
      <w:r w:rsidRPr="00AB34E1">
        <w:rPr>
          <w:bCs/>
          <w:sz w:val="28"/>
          <w:szCs w:val="28"/>
        </w:rPr>
        <w:t xml:space="preserve">Богословского сельского </w:t>
      </w:r>
      <w:r w:rsidRPr="00AB34E1">
        <w:rPr>
          <w:sz w:val="28"/>
          <w:szCs w:val="28"/>
        </w:rPr>
        <w:t xml:space="preserve"> </w:t>
      </w:r>
      <w:r w:rsidRPr="00AB34E1">
        <w:rPr>
          <w:bCs/>
          <w:sz w:val="28"/>
          <w:szCs w:val="28"/>
        </w:rPr>
        <w:t xml:space="preserve">поселения, депутатами Совета Богословского сельского </w:t>
      </w:r>
      <w:r w:rsidRPr="00AB34E1">
        <w:rPr>
          <w:sz w:val="28"/>
          <w:szCs w:val="28"/>
        </w:rPr>
        <w:t xml:space="preserve"> </w:t>
      </w:r>
      <w:r w:rsidRPr="00AB34E1">
        <w:rPr>
          <w:bCs/>
          <w:sz w:val="28"/>
          <w:szCs w:val="28"/>
        </w:rPr>
        <w:t>поселения о возникновении личной заинтересованности при исполнении должностных обязанностей,</w:t>
      </w:r>
      <w:r w:rsidR="00AB34E1">
        <w:rPr>
          <w:bCs/>
          <w:sz w:val="28"/>
          <w:szCs w:val="28"/>
        </w:rPr>
        <w:t xml:space="preserve"> </w:t>
      </w:r>
      <w:r w:rsidRPr="00AB34E1">
        <w:rPr>
          <w:bCs/>
          <w:sz w:val="28"/>
          <w:szCs w:val="28"/>
        </w:rPr>
        <w:t>которая приводит или может привести к конфликту интересов»</w:t>
      </w:r>
    </w:p>
    <w:p w:rsidR="00D0089E" w:rsidRDefault="00D0089E" w:rsidP="00D0089E">
      <w:pPr>
        <w:ind w:firstLine="709"/>
        <w:rPr>
          <w:caps/>
          <w:sz w:val="28"/>
          <w:szCs w:val="28"/>
        </w:rPr>
      </w:pPr>
    </w:p>
    <w:p w:rsidR="00D0089E" w:rsidRDefault="00D0089E" w:rsidP="00D00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>
        <w:rPr>
          <w:sz w:val="28"/>
          <w:szCs w:val="28"/>
        </w:rPr>
        <w:t xml:space="preserve"> изменений в некоторые акты Президента Российской Федерации», руководствуясь статьей Уставом </w:t>
      </w:r>
      <w:r>
        <w:rPr>
          <w:bCs/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 поселения, Совет</w:t>
      </w:r>
    </w:p>
    <w:p w:rsidR="00D0089E" w:rsidRDefault="00D0089E" w:rsidP="00D00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89E" w:rsidRDefault="00D0089E" w:rsidP="00AB34E1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D0089E" w:rsidRDefault="00D0089E" w:rsidP="00D00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89E" w:rsidRDefault="00D0089E" w:rsidP="00D0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сообщения главой </w:t>
      </w:r>
      <w:r>
        <w:rPr>
          <w:bCs/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поселения, депутатами Совета Богословского сельского 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(прилагается).</w:t>
      </w:r>
    </w:p>
    <w:p w:rsidR="00D0089E" w:rsidRDefault="00D0089E" w:rsidP="00D00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решение опубликовать в газете «Муниципальный вестник» </w:t>
      </w:r>
      <w:r>
        <w:rPr>
          <w:bCs/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 и на официальном сайте </w:t>
      </w:r>
      <w:r>
        <w:rPr>
          <w:bCs/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 поселения в сети «Интернет»;</w:t>
      </w:r>
    </w:p>
    <w:p w:rsidR="00D0089E" w:rsidRDefault="00D0089E" w:rsidP="00D00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D0089E" w:rsidRDefault="00D0089E" w:rsidP="00D0089E">
      <w:pPr>
        <w:ind w:firstLine="709"/>
        <w:rPr>
          <w:sz w:val="28"/>
          <w:szCs w:val="28"/>
        </w:rPr>
      </w:pPr>
    </w:p>
    <w:p w:rsidR="00D0089E" w:rsidRDefault="00D0089E" w:rsidP="00D008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089E" w:rsidRDefault="00D0089E" w:rsidP="00D008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И.А.</w:t>
      </w:r>
      <w:r w:rsidR="001A5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Крицкий           </w:t>
      </w:r>
    </w:p>
    <w:p w:rsidR="00D0089E" w:rsidRDefault="00D0089E" w:rsidP="00D0089E">
      <w:pPr>
        <w:shd w:val="clear" w:color="auto" w:fill="FFFFFF"/>
        <w:ind w:firstLine="709"/>
        <w:rPr>
          <w:sz w:val="28"/>
          <w:szCs w:val="28"/>
        </w:rPr>
      </w:pPr>
    </w:p>
    <w:p w:rsidR="00D0089E" w:rsidRDefault="00D0089E" w:rsidP="00D0089E">
      <w:pPr>
        <w:shd w:val="clear" w:color="auto" w:fill="FFFFFF"/>
        <w:ind w:firstLine="709"/>
        <w:rPr>
          <w:sz w:val="28"/>
          <w:szCs w:val="28"/>
        </w:rPr>
      </w:pPr>
    </w:p>
    <w:p w:rsidR="00D0089E" w:rsidRDefault="00D0089E" w:rsidP="00D0089E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089E" w:rsidRDefault="00D0089E" w:rsidP="00D008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0089E" w:rsidRDefault="00026760" w:rsidP="00D008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D0089E">
        <w:rPr>
          <w:sz w:val="28"/>
          <w:szCs w:val="28"/>
        </w:rPr>
        <w:t xml:space="preserve"> сельского </w:t>
      </w:r>
    </w:p>
    <w:p w:rsidR="00D0089E" w:rsidRDefault="00026760" w:rsidP="00D008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Богословского</w:t>
      </w:r>
      <w:r w:rsidR="00D0089E">
        <w:rPr>
          <w:sz w:val="28"/>
          <w:szCs w:val="28"/>
        </w:rPr>
        <w:t xml:space="preserve"> поселения</w:t>
      </w:r>
    </w:p>
    <w:p w:rsidR="00D0089E" w:rsidRDefault="00AB34E1" w:rsidP="00D008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15.12.2017 г. № 35</w:t>
      </w:r>
    </w:p>
    <w:p w:rsidR="00D0089E" w:rsidRDefault="00D0089E" w:rsidP="00D0089E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0089E" w:rsidRDefault="00D0089E" w:rsidP="00D0089E">
      <w:pPr>
        <w:ind w:firstLine="709"/>
        <w:jc w:val="center"/>
        <w:rPr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D0089E" w:rsidRDefault="00D0089E" w:rsidP="00D0089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</w:t>
      </w:r>
    </w:p>
    <w:p w:rsidR="00D0089E" w:rsidRDefault="00D0089E" w:rsidP="00D00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сообщения главой </w:t>
      </w:r>
      <w:r w:rsidR="00026760" w:rsidRPr="00026760">
        <w:rPr>
          <w:b/>
          <w:bCs/>
          <w:sz w:val="28"/>
          <w:szCs w:val="28"/>
        </w:rPr>
        <w:t>Богословского</w:t>
      </w:r>
      <w:r>
        <w:rPr>
          <w:b/>
          <w:bCs/>
          <w:sz w:val="28"/>
          <w:szCs w:val="28"/>
        </w:rPr>
        <w:t xml:space="preserve"> сельского </w:t>
      </w:r>
      <w:r w:rsidR="00026760" w:rsidRPr="00026760">
        <w:rPr>
          <w:b/>
          <w:bCs/>
          <w:sz w:val="28"/>
          <w:szCs w:val="28"/>
        </w:rPr>
        <w:t>Богословского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поселения, депутатами Совета </w:t>
      </w:r>
      <w:r w:rsidR="00026760" w:rsidRPr="00026760">
        <w:rPr>
          <w:b/>
          <w:bCs/>
          <w:sz w:val="28"/>
          <w:szCs w:val="28"/>
        </w:rPr>
        <w:t>Богословского</w:t>
      </w:r>
      <w:r>
        <w:rPr>
          <w:b/>
          <w:bCs/>
          <w:sz w:val="28"/>
          <w:szCs w:val="28"/>
        </w:rPr>
        <w:t xml:space="preserve"> сельского </w:t>
      </w:r>
      <w:r w:rsidR="00026760" w:rsidRPr="00026760">
        <w:rPr>
          <w:b/>
          <w:bCs/>
          <w:sz w:val="28"/>
          <w:szCs w:val="28"/>
        </w:rPr>
        <w:t>Богословского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D0089E" w:rsidRDefault="00D0089E" w:rsidP="00D0089E">
      <w:pPr>
        <w:ind w:firstLine="709"/>
        <w:jc w:val="center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сообщения главой </w:t>
      </w:r>
      <w:r w:rsidR="00026760" w:rsidRPr="00026760">
        <w:rPr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депутатами Совета </w:t>
      </w:r>
      <w:r w:rsidR="00026760" w:rsidRPr="00026760">
        <w:rPr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(далее – лица, замещающие муниципальные должности) Совету </w:t>
      </w:r>
      <w:r w:rsidR="00026760" w:rsidRPr="00026760">
        <w:rPr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Лица, замещающие муниципальные должности, обязаны уведомить Совет </w:t>
      </w:r>
      <w:r w:rsidR="00026760" w:rsidRPr="00026760">
        <w:rPr>
          <w:bCs/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 </w:t>
      </w:r>
      <w:r w:rsidR="00026760" w:rsidRPr="00026760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Лицо, замещающее муниципальную должность, направляет уведомление на имя председателя Совета </w:t>
      </w:r>
      <w:r w:rsidR="00026760" w:rsidRPr="00026760">
        <w:rPr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и передает се</w:t>
      </w:r>
      <w:r w:rsidR="00026760">
        <w:rPr>
          <w:sz w:val="28"/>
          <w:szCs w:val="28"/>
        </w:rPr>
        <w:t xml:space="preserve">кретарю администрации </w:t>
      </w:r>
      <w:r w:rsidR="00026760" w:rsidRPr="00026760">
        <w:rPr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ответственного за прием и регистрацию документов (далее – администрация).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Журнал ведется по форме согласно приложению 2 к настоящему Положению.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Листы журнала должны быть прошнурованы, пронумерованы. Журнал хранится в администрации.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 уведомлении ставится отметка о дате и времени его поступления в администрацию, номер регистрации в журнале, подпись секретаря администрации, принявшего уведомление.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После регистрации уведомления секретарь администрации выдает лицу, направившему уведомление,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расписку</w:t>
        </w:r>
      </w:hyperlink>
      <w:r>
        <w:rPr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Уведомление направляется секретарем администрации</w:t>
      </w:r>
      <w:r w:rsidR="00026760">
        <w:rPr>
          <w:sz w:val="28"/>
          <w:szCs w:val="28"/>
        </w:rPr>
        <w:t xml:space="preserve"> председателю Совета </w:t>
      </w:r>
      <w:r w:rsidR="00026760" w:rsidRPr="00026760">
        <w:rPr>
          <w:sz w:val="28"/>
          <w:szCs w:val="28"/>
        </w:rPr>
        <w:t>Богословского</w:t>
      </w:r>
      <w:r w:rsidR="0056227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не позднее 1 рабочего дня, следующего за днем регистрации уведомления.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6760">
        <w:rPr>
          <w:sz w:val="28"/>
          <w:szCs w:val="28"/>
        </w:rPr>
        <w:t xml:space="preserve">. Председатель Совета </w:t>
      </w:r>
      <w:r w:rsidR="00026760" w:rsidRPr="00026760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</w:t>
      </w:r>
      <w:r w:rsidR="00026760" w:rsidRPr="00026760">
        <w:rPr>
          <w:sz w:val="28"/>
          <w:szCs w:val="28"/>
        </w:rPr>
        <w:t xml:space="preserve">Богословского </w:t>
      </w:r>
      <w:r>
        <w:rPr>
          <w:sz w:val="28"/>
          <w:szCs w:val="28"/>
        </w:rPr>
        <w:t xml:space="preserve">поселения не позднее 3 рабочих дней со дня получения уведомления направляет уведомление в комиссию Совета </w:t>
      </w:r>
      <w:r w:rsidR="00026760" w:rsidRPr="00026760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</w:t>
      </w:r>
      <w:r w:rsidR="00026760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поселения (далее – Комиссия) на предварительное рассмотрение.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0"/>
      <w:bookmarkEnd w:id="3"/>
      <w:r>
        <w:rPr>
          <w:sz w:val="28"/>
          <w:szCs w:val="28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"/>
      <w:bookmarkEnd w:id="4"/>
      <w:r>
        <w:rPr>
          <w:sz w:val="28"/>
          <w:szCs w:val="28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Совета </w:t>
      </w:r>
      <w:r w:rsidR="00026760" w:rsidRPr="00026760">
        <w:rPr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в течение 7 рабочих дней со дня поступления уведомления в Комиссию на предварительное рассмотрение.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председателю Совета </w:t>
      </w:r>
      <w:r w:rsidR="00026760" w:rsidRPr="00026760">
        <w:rPr>
          <w:sz w:val="28"/>
          <w:szCs w:val="28"/>
        </w:rPr>
        <w:t>Богословского</w:t>
      </w:r>
      <w:r w:rsidR="0056227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Совета </w:t>
      </w:r>
      <w:r w:rsidR="00026760" w:rsidRPr="00026760">
        <w:rPr>
          <w:sz w:val="28"/>
          <w:szCs w:val="28"/>
        </w:rPr>
        <w:t>Богословского</w:t>
      </w:r>
      <w:r w:rsidR="0056227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поселения, но не более чем на 30 календарных дней.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Председатель Совета </w:t>
      </w:r>
      <w:r w:rsidR="00026760" w:rsidRPr="00026760">
        <w:rPr>
          <w:sz w:val="28"/>
          <w:szCs w:val="28"/>
        </w:rPr>
        <w:t>Богословского</w:t>
      </w:r>
      <w:r w:rsidR="0056227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в порядке и сроки, установленные регламентом Совета </w:t>
      </w:r>
      <w:r w:rsidR="00026760" w:rsidRPr="00026760">
        <w:rPr>
          <w:sz w:val="28"/>
          <w:szCs w:val="28"/>
        </w:rPr>
        <w:t>Богословского</w:t>
      </w:r>
      <w:r w:rsidR="0056227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 обеспечивает рассмотрение уведомления лица, замещающего муниципальную должность,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  <w:proofErr w:type="gramEnd"/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 результатам рассмотрения документов, предусмотренных пунктом 13 настоящего Положения, Совет </w:t>
      </w:r>
      <w:r w:rsidR="00026760" w:rsidRPr="00026760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 принимает одно из следующих решений: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6"/>
      <w:bookmarkEnd w:id="5"/>
      <w:r>
        <w:rPr>
          <w:sz w:val="28"/>
          <w:szCs w:val="28"/>
        </w:rPr>
        <w:lastRenderedPageBreak/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принятия решения, предусмотренного подпунктом 2 и 3 пункта 16 настоящего Положения, Совет </w:t>
      </w:r>
      <w:r w:rsidR="00026760" w:rsidRPr="00026760">
        <w:rPr>
          <w:sz w:val="28"/>
          <w:szCs w:val="28"/>
        </w:rPr>
        <w:t>Богословского</w:t>
      </w:r>
      <w:r w:rsidR="0002676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61941" w:rsidRDefault="00F61941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1A556F">
      <w:pPr>
        <w:autoSpaceDE w:val="0"/>
        <w:autoSpaceDN w:val="0"/>
        <w:adjustRightInd w:val="0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к Положению о порядке сообщения</w:t>
      </w:r>
    </w:p>
    <w:p w:rsidR="00D0089E" w:rsidRDefault="00562271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главой</w:t>
      </w:r>
      <w:r w:rsidR="00D0089E">
        <w:rPr>
          <w:szCs w:val="24"/>
        </w:rPr>
        <w:t xml:space="preserve"> </w:t>
      </w:r>
      <w:proofErr w:type="gramStart"/>
      <w:r w:rsidR="00F61941" w:rsidRPr="00F61941">
        <w:rPr>
          <w:szCs w:val="24"/>
        </w:rPr>
        <w:t>Богословского</w:t>
      </w:r>
      <w:proofErr w:type="gramEnd"/>
      <w:r w:rsidR="00D0089E">
        <w:rPr>
          <w:szCs w:val="24"/>
        </w:rPr>
        <w:t xml:space="preserve"> сельского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 xml:space="preserve"> поселения, депутатами Совета </w:t>
      </w:r>
      <w:r w:rsidR="00F61941" w:rsidRPr="00F61941">
        <w:rPr>
          <w:szCs w:val="24"/>
        </w:rPr>
        <w:t>Богословского</w:t>
      </w:r>
      <w:r>
        <w:rPr>
          <w:szCs w:val="24"/>
        </w:rPr>
        <w:t xml:space="preserve">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 xml:space="preserve">сельского  поселения о возникновении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 xml:space="preserve">личной заинтересованности при исполнении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 xml:space="preserve">должностных обязанностей, </w:t>
      </w:r>
      <w:proofErr w:type="gramStart"/>
      <w:r>
        <w:rPr>
          <w:szCs w:val="24"/>
        </w:rPr>
        <w:t>которая</w:t>
      </w:r>
      <w:proofErr w:type="gramEnd"/>
      <w:r>
        <w:rPr>
          <w:szCs w:val="24"/>
        </w:rPr>
        <w:t xml:space="preserve"> приводит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или может привести к конфликту интересов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Председателю (заместителю председателя)</w:t>
      </w:r>
    </w:p>
    <w:p w:rsidR="00D0089E" w:rsidRDefault="00AB34E1" w:rsidP="00AB34E1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D0089E">
        <w:rPr>
          <w:szCs w:val="24"/>
        </w:rPr>
        <w:t xml:space="preserve">Совета </w:t>
      </w:r>
      <w:r>
        <w:rPr>
          <w:szCs w:val="24"/>
        </w:rPr>
        <w:t xml:space="preserve">Богословского </w:t>
      </w:r>
      <w:r w:rsidR="001A556F">
        <w:rPr>
          <w:szCs w:val="24"/>
        </w:rPr>
        <w:t>сельского</w:t>
      </w:r>
      <w:r w:rsidR="00D0089E">
        <w:rPr>
          <w:szCs w:val="24"/>
        </w:rPr>
        <w:t xml:space="preserve"> поселения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_________________________________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От ______________________________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_________________________________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proofErr w:type="gramStart"/>
      <w:r>
        <w:rPr>
          <w:szCs w:val="24"/>
        </w:rPr>
        <w:t>(фамилия, имя, отчество (при наличии),</w:t>
      </w:r>
      <w:proofErr w:type="gramEnd"/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наименование замещаемой муниципальной должности)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D0089E" w:rsidRDefault="00D0089E" w:rsidP="00D0089E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D0089E" w:rsidRDefault="00D0089E" w:rsidP="00D0089E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D0089E" w:rsidRDefault="00D0089E" w:rsidP="00D0089E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D0089E" w:rsidRDefault="00D0089E" w:rsidP="00D0089E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приводит или может привести к конфликту интересов </w:t>
      </w:r>
    </w:p>
    <w:p w:rsidR="00D0089E" w:rsidRDefault="00D0089E" w:rsidP="00D0089E">
      <w:pPr>
        <w:widowControl w:val="0"/>
        <w:autoSpaceDE w:val="0"/>
        <w:autoSpaceDN w:val="0"/>
        <w:adjustRightInd w:val="0"/>
        <w:spacing w:line="204" w:lineRule="auto"/>
        <w:jc w:val="both"/>
        <w:rPr>
          <w:szCs w:val="24"/>
        </w:rPr>
      </w:pP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  <w:r>
        <w:rPr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подчеркнуть).</w:t>
      </w: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  <w:r>
        <w:rPr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заинтересованности:_________________________________________________________________________________________________________________________________________.</w:t>
      </w: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  <w:r>
        <w:rPr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D0089E" w:rsidRDefault="00D0089E" w:rsidP="00D0089E">
      <w:pPr>
        <w:autoSpaceDE w:val="0"/>
        <w:autoSpaceDN w:val="0"/>
        <w:spacing w:line="204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_____________________________________________________________________________.</w:t>
      </w: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  <w:r>
        <w:rPr>
          <w:szCs w:val="24"/>
        </w:rPr>
        <w:t>Предлагаемые меры по предотвращению или урегулированию конфликта</w:t>
      </w: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  <w:r>
        <w:rPr>
          <w:szCs w:val="24"/>
        </w:rPr>
        <w:t>интересов: _____________________________________________________________</w:t>
      </w:r>
    </w:p>
    <w:p w:rsidR="00D0089E" w:rsidRDefault="00D0089E" w:rsidP="00D0089E">
      <w:pPr>
        <w:autoSpaceDE w:val="0"/>
        <w:autoSpaceDN w:val="0"/>
        <w:spacing w:line="204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_____________________________________________________________________________.</w:t>
      </w: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  <w:r>
        <w:rPr>
          <w:szCs w:val="24"/>
        </w:rPr>
        <w:t>Намереваюсь (не намереваюсь) лично присутствовать при рассмотрении настоящего уведомления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подчеркнуть).</w:t>
      </w:r>
    </w:p>
    <w:p w:rsidR="00D0089E" w:rsidRDefault="00D0089E" w:rsidP="00D0089E">
      <w:pPr>
        <w:autoSpaceDE w:val="0"/>
        <w:autoSpaceDN w:val="0"/>
        <w:spacing w:line="204" w:lineRule="auto"/>
        <w:ind w:firstLine="709"/>
        <w:jc w:val="both"/>
        <w:rPr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D0089E" w:rsidTr="00D0089E">
        <w:tc>
          <w:tcPr>
            <w:tcW w:w="3115" w:type="dxa"/>
            <w:hideMark/>
          </w:tcPr>
          <w:p w:rsidR="00D0089E" w:rsidRDefault="00D0089E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«__» __________ 20____г.</w:t>
            </w:r>
          </w:p>
        </w:tc>
        <w:tc>
          <w:tcPr>
            <w:tcW w:w="3115" w:type="dxa"/>
            <w:hideMark/>
          </w:tcPr>
          <w:p w:rsidR="00D0089E" w:rsidRDefault="00D0089E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</w:tc>
        <w:tc>
          <w:tcPr>
            <w:tcW w:w="3115" w:type="dxa"/>
            <w:hideMark/>
          </w:tcPr>
          <w:p w:rsidR="00D0089E" w:rsidRDefault="00D0089E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</w:tr>
      <w:tr w:rsidR="00D0089E" w:rsidTr="00D0089E">
        <w:tc>
          <w:tcPr>
            <w:tcW w:w="3115" w:type="dxa"/>
          </w:tcPr>
          <w:p w:rsidR="00D0089E" w:rsidRDefault="00D0089E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  <w:hideMark/>
          </w:tcPr>
          <w:p w:rsidR="00D0089E" w:rsidRDefault="00D0089E">
            <w:pPr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лица, замещающего муниципальную должность)</w:t>
            </w:r>
          </w:p>
        </w:tc>
        <w:tc>
          <w:tcPr>
            <w:tcW w:w="3115" w:type="dxa"/>
            <w:hideMark/>
          </w:tcPr>
          <w:p w:rsidR="00D0089E" w:rsidRDefault="00D0089E">
            <w:pPr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D0089E" w:rsidRDefault="00D0089E" w:rsidP="00D0089E">
      <w:pPr>
        <w:rPr>
          <w:b/>
          <w:bCs/>
          <w:szCs w:val="24"/>
        </w:rPr>
      </w:pPr>
    </w:p>
    <w:p w:rsidR="00D0089E" w:rsidRDefault="00D0089E" w:rsidP="00D0089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РАСПИСКА В ПОЛУЧЕНИИ УВЕДОМЛЕНИЯ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D0089E" w:rsidTr="00D0089E">
        <w:tc>
          <w:tcPr>
            <w:tcW w:w="9345" w:type="dxa"/>
            <w:gridSpan w:val="2"/>
            <w:hideMark/>
          </w:tcPr>
          <w:p w:rsidR="00D0089E" w:rsidRDefault="00D0089E">
            <w:pPr>
              <w:autoSpaceDE w:val="0"/>
              <w:autoSpaceDN w:val="0"/>
              <w:ind w:firstLine="709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Уведомление</w:t>
            </w:r>
            <w:r>
              <w:rPr>
                <w:b/>
                <w:bCs/>
                <w:szCs w:val="24"/>
              </w:rPr>
              <w:t>__________________________________________________________</w:t>
            </w:r>
          </w:p>
        </w:tc>
      </w:tr>
      <w:tr w:rsidR="00D0089E" w:rsidTr="00D0089E">
        <w:tc>
          <w:tcPr>
            <w:tcW w:w="9345" w:type="dxa"/>
            <w:gridSpan w:val="2"/>
            <w:hideMark/>
          </w:tcPr>
          <w:p w:rsidR="00D0089E" w:rsidRDefault="00D0089E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</w:t>
            </w:r>
          </w:p>
        </w:tc>
      </w:tr>
      <w:tr w:rsidR="00D0089E" w:rsidTr="00D0089E">
        <w:tc>
          <w:tcPr>
            <w:tcW w:w="9345" w:type="dxa"/>
            <w:gridSpan w:val="2"/>
            <w:hideMark/>
          </w:tcPr>
          <w:p w:rsidR="00D0089E" w:rsidRDefault="00D0089E">
            <w:pPr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>
              <w:rPr>
                <w:sz w:val="18"/>
                <w:szCs w:val="18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D0089E" w:rsidTr="00D0089E">
        <w:tc>
          <w:tcPr>
            <w:tcW w:w="9345" w:type="dxa"/>
            <w:gridSpan w:val="2"/>
          </w:tcPr>
          <w:p w:rsidR="00D0089E" w:rsidRDefault="00D008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D0089E" w:rsidRDefault="00D0089E">
            <w:pPr>
              <w:autoSpaceDE w:val="0"/>
              <w:autoSpaceDN w:val="0"/>
              <w:jc w:val="both"/>
              <w:rPr>
                <w:szCs w:val="24"/>
              </w:rPr>
            </w:pPr>
          </w:p>
        </w:tc>
      </w:tr>
      <w:tr w:rsidR="00D0089E" w:rsidTr="00D0089E">
        <w:tc>
          <w:tcPr>
            <w:tcW w:w="4672" w:type="dxa"/>
            <w:hideMark/>
          </w:tcPr>
          <w:p w:rsidR="00D0089E" w:rsidRDefault="00D0089E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4673" w:type="dxa"/>
            <w:hideMark/>
          </w:tcPr>
          <w:p w:rsidR="00D0089E" w:rsidRDefault="00D0089E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</w:tc>
      </w:tr>
      <w:tr w:rsidR="00D0089E" w:rsidTr="00D0089E">
        <w:tc>
          <w:tcPr>
            <w:tcW w:w="4672" w:type="dxa"/>
            <w:hideMark/>
          </w:tcPr>
          <w:p w:rsidR="00D0089E" w:rsidRDefault="00D0089E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  <w:hideMark/>
          </w:tcPr>
          <w:p w:rsidR="00D0089E" w:rsidRDefault="00D0089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ответственного должностного лица уполномоченного органа)</w:t>
            </w:r>
          </w:p>
        </w:tc>
      </w:tr>
    </w:tbl>
    <w:p w:rsidR="00D0089E" w:rsidRDefault="00D0089E" w:rsidP="00D0089E">
      <w:pPr>
        <w:sectPr w:rsidR="00D0089E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D0089E" w:rsidRDefault="00D0089E" w:rsidP="00D0089E">
      <w:pPr>
        <w:autoSpaceDE w:val="0"/>
        <w:autoSpaceDN w:val="0"/>
        <w:adjustRightInd w:val="0"/>
        <w:spacing w:line="216" w:lineRule="auto"/>
        <w:ind w:firstLine="709"/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к Положению о порядке сообщения</w:t>
      </w:r>
    </w:p>
    <w:p w:rsidR="00D0089E" w:rsidRDefault="00562271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 xml:space="preserve">главой </w:t>
      </w:r>
      <w:r w:rsidR="001A556F">
        <w:rPr>
          <w:szCs w:val="24"/>
        </w:rPr>
        <w:t xml:space="preserve"> Богословского сельского </w:t>
      </w:r>
      <w:r w:rsidR="00D0089E">
        <w:rPr>
          <w:szCs w:val="24"/>
        </w:rPr>
        <w:t xml:space="preserve">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посел</w:t>
      </w:r>
      <w:r w:rsidR="001A556F">
        <w:rPr>
          <w:szCs w:val="24"/>
        </w:rPr>
        <w:t>ения, депутатами Совета Богословского</w:t>
      </w:r>
      <w:r>
        <w:rPr>
          <w:szCs w:val="24"/>
        </w:rPr>
        <w:t xml:space="preserve"> сельского (городского) </w:t>
      </w:r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 xml:space="preserve">поселения о возникновении личной заинтересованности </w:t>
      </w:r>
      <w:proofErr w:type="gramStart"/>
      <w:r>
        <w:rPr>
          <w:szCs w:val="24"/>
        </w:rPr>
        <w:t>при</w:t>
      </w:r>
      <w:proofErr w:type="gramEnd"/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 xml:space="preserve">исполнении должностных обязанностей, </w:t>
      </w:r>
      <w:proofErr w:type="gramStart"/>
      <w:r>
        <w:rPr>
          <w:szCs w:val="24"/>
        </w:rPr>
        <w:t>которая</w:t>
      </w:r>
      <w:proofErr w:type="gramEnd"/>
    </w:p>
    <w:p w:rsidR="00D0089E" w:rsidRDefault="00D0089E" w:rsidP="00D0089E">
      <w:pPr>
        <w:autoSpaceDE w:val="0"/>
        <w:autoSpaceDN w:val="0"/>
        <w:adjustRightInd w:val="0"/>
        <w:ind w:firstLine="709"/>
        <w:jc w:val="right"/>
        <w:rPr>
          <w:szCs w:val="24"/>
        </w:rPr>
      </w:pPr>
      <w:r>
        <w:rPr>
          <w:szCs w:val="24"/>
        </w:rPr>
        <w:t>приводит или может привести к конфликту интересов</w:t>
      </w:r>
    </w:p>
    <w:p w:rsidR="00D0089E" w:rsidRDefault="00D0089E" w:rsidP="00D0089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0089E" w:rsidRDefault="00D0089E" w:rsidP="00D0089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0089E" w:rsidRDefault="00D0089E" w:rsidP="00D0089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ЖУРНАЛ УЧЕТА УВЕДОМЛЕНИЙ</w:t>
      </w:r>
    </w:p>
    <w:p w:rsidR="00D0089E" w:rsidRDefault="00D0089E" w:rsidP="00D0089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47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083"/>
        <w:gridCol w:w="1165"/>
        <w:gridCol w:w="1670"/>
        <w:gridCol w:w="1842"/>
        <w:gridCol w:w="1577"/>
        <w:gridCol w:w="1930"/>
        <w:gridCol w:w="4734"/>
      </w:tblGrid>
      <w:tr w:rsidR="00D0089E" w:rsidTr="00D0089E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аименование замещаемой муниципальной должности</w:t>
            </w:r>
          </w:p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 ответственного должностного лица</w:t>
            </w:r>
          </w:p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Отметка о выдаче лицу, замещающему муниципальную должность, расписки в получении уведомления (дата, подпись гражданина)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Отметка о направлении уведомления на предварительное рассмотрение в Комиссию (дата, фамилия, имя, отчество (при наличии), подпись ответственного должностного лица</w:t>
            </w:r>
            <w:proofErr w:type="gramEnd"/>
          </w:p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Отметка о выводах, содержащихся в мотивированном заключении Комиссии</w:t>
            </w:r>
          </w:p>
        </w:tc>
      </w:tr>
      <w:tr w:rsidR="00D0089E" w:rsidTr="00D0089E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9E" w:rsidRDefault="00D0089E">
            <w:pPr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9E" w:rsidRDefault="00D0089E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9E" w:rsidRDefault="00D0089E">
            <w:pPr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9E" w:rsidRDefault="00D0089E">
            <w:pPr>
              <w:rPr>
                <w:sz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9E" w:rsidRDefault="00D0089E">
            <w:pPr>
              <w:rPr>
                <w:sz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9E" w:rsidRDefault="00D0089E">
            <w:pPr>
              <w:rPr>
                <w:sz w:val="20"/>
              </w:rPr>
            </w:pPr>
          </w:p>
        </w:tc>
      </w:tr>
      <w:tr w:rsidR="00D0089E" w:rsidTr="00D0089E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0089E" w:rsidTr="00D0089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89E" w:rsidRDefault="00D008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9E" w:rsidRDefault="00D0089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D0089E" w:rsidRDefault="00D0089E" w:rsidP="00D0089E">
      <w:pPr>
        <w:autoSpaceDE w:val="0"/>
        <w:autoSpaceDN w:val="0"/>
        <w:jc w:val="both"/>
        <w:rPr>
          <w:b/>
          <w:bCs/>
          <w:szCs w:val="24"/>
        </w:rPr>
      </w:pPr>
    </w:p>
    <w:p w:rsidR="00D0089E" w:rsidRDefault="00D0089E" w:rsidP="00D0089E">
      <w:pPr>
        <w:pStyle w:val="a5"/>
        <w:spacing w:before="0" w:beforeAutospacing="0" w:after="0" w:afterAutospacing="0" w:line="240" w:lineRule="exact"/>
        <w:jc w:val="center"/>
      </w:pPr>
    </w:p>
    <w:p w:rsidR="00EA0FDA" w:rsidRDefault="00EA0FDA"/>
    <w:sectPr w:rsidR="00E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CE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26760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E7AA9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556F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14B6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C58C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62271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4E1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89E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1941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89E"/>
    <w:rPr>
      <w:color w:val="0000FF" w:themeColor="hyperlink"/>
      <w:u w:val="single"/>
    </w:rPr>
  </w:style>
  <w:style w:type="character" w:customStyle="1" w:styleId="a4">
    <w:name w:val="Обычный (веб) Знак"/>
    <w:link w:val="a5"/>
    <w:semiHidden/>
    <w:locked/>
    <w:rsid w:val="00D0089E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D0089E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ConsPlusNonformat">
    <w:name w:val="ConsPlusNonformat"/>
    <w:rsid w:val="00D00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D0089E"/>
    <w:rPr>
      <w:rFonts w:ascii="Sylfaen" w:hAnsi="Sylfaen" w:cs="Sylfae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5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89E"/>
    <w:rPr>
      <w:color w:val="0000FF" w:themeColor="hyperlink"/>
      <w:u w:val="single"/>
    </w:rPr>
  </w:style>
  <w:style w:type="character" w:customStyle="1" w:styleId="a4">
    <w:name w:val="Обычный (веб) Знак"/>
    <w:link w:val="a5"/>
    <w:semiHidden/>
    <w:locked/>
    <w:rsid w:val="00D0089E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D0089E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ConsPlusNonformat">
    <w:name w:val="ConsPlusNonformat"/>
    <w:rsid w:val="00D00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D0089E"/>
    <w:rPr>
      <w:rFonts w:ascii="Sylfaen" w:hAnsi="Sylfaen" w:cs="Sylfae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5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FCFA1A7E40BE9BCE3236843ACO0JDE" TargetMode="External"/><Relationship Id="rId5" Type="http://schemas.openxmlformats.org/officeDocument/2006/relationships/hyperlink" Target="consultantplus://offline/ref=496E982A517483828B64E8206FA476F34CC6A1AAEA04E9BCE3236843ACO0J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2017-12-13T05:22:00Z</cp:lastPrinted>
  <dcterms:created xsi:type="dcterms:W3CDTF">2017-12-13T04:24:00Z</dcterms:created>
  <dcterms:modified xsi:type="dcterms:W3CDTF">2017-12-25T03:49:00Z</dcterms:modified>
</cp:coreProperties>
</file>